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59EAE" w14:textId="77777777" w:rsidR="00246D95" w:rsidRDefault="00CC4E74">
      <w:pPr>
        <w:spacing w:before="200" w:after="60"/>
        <w:jc w:val="center"/>
      </w:pPr>
      <w:bookmarkStart w:id="0" w:name="_GoBack"/>
      <w:bookmarkEnd w:id="0"/>
      <w:r>
        <w:rPr>
          <w:b/>
          <w:bCs/>
          <w:caps/>
          <w:color w:val="C9A94A"/>
        </w:rPr>
        <w:t>A PRACTICAL ‘HOW-TO’ ACROSS CORE DISPUTES</w:t>
      </w:r>
    </w:p>
    <w:p w14:paraId="6EB53992" w14:textId="77777777" w:rsidR="00246D95" w:rsidRDefault="00CC4E74">
      <w:pPr>
        <w:spacing w:after="20"/>
        <w:jc w:val="center"/>
      </w:pPr>
      <w:r>
        <w:rPr>
          <w:b/>
          <w:bCs/>
          <w:color w:val="1B2A4A"/>
          <w:sz w:val="36"/>
          <w:szCs w:val="36"/>
        </w:rPr>
        <w:t>Half-Day Conference Programme</w:t>
      </w:r>
    </w:p>
    <w:p w14:paraId="396E975E" w14:textId="042475EC" w:rsidR="00246D95" w:rsidRDefault="00CC4E74">
      <w:pPr>
        <w:pBdr>
          <w:bottom w:val="single" w:sz="6" w:space="8" w:color="C9A94A"/>
        </w:pBdr>
        <w:spacing w:after="300"/>
        <w:jc w:val="center"/>
      </w:pPr>
      <w:r>
        <w:rPr>
          <w:color w:val="666666"/>
        </w:rPr>
        <w:t xml:space="preserve">Ashworth Centre, Lincoln’s </w:t>
      </w:r>
      <w:r w:rsidR="00523F6B">
        <w:rPr>
          <w:color w:val="666666"/>
        </w:rPr>
        <w:t>Inn · Wednesday</w:t>
      </w:r>
      <w:r>
        <w:rPr>
          <w:color w:val="666666"/>
        </w:rPr>
        <w:t xml:space="preserve"> 16 September 2026</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026"/>
      </w:tblGrid>
      <w:tr w:rsidR="00246D95" w14:paraId="22D52842" w14:textId="77777777">
        <w:tc>
          <w:tcPr>
            <w:tcW w:w="2000" w:type="dxa"/>
            <w:tcBorders>
              <w:top w:val="single" w:sz="1" w:space="0" w:color="D8DFE8"/>
              <w:left w:val="single" w:sz="1" w:space="0" w:color="D8DFE8"/>
              <w:bottom w:val="single" w:sz="1" w:space="0" w:color="D8DFE8"/>
              <w:right w:val="single" w:sz="1" w:space="0" w:color="D8DFE8"/>
            </w:tcBorders>
            <w:shd w:val="clear" w:color="auto" w:fill="1B2A4A"/>
            <w:tcMar>
              <w:top w:w="140" w:type="dxa"/>
              <w:left w:w="160" w:type="dxa"/>
              <w:bottom w:w="140" w:type="dxa"/>
              <w:right w:w="160" w:type="dxa"/>
            </w:tcMar>
          </w:tcPr>
          <w:p w14:paraId="62B1B867" w14:textId="77777777" w:rsidR="00246D95" w:rsidRDefault="00CC4E74">
            <w:pPr>
              <w:jc w:val="center"/>
            </w:pPr>
            <w:r>
              <w:rPr>
                <w:b/>
                <w:bCs/>
                <w:color w:val="C9A94A"/>
              </w:rPr>
              <w:t>1:00 – 1:45</w:t>
            </w:r>
          </w:p>
        </w:tc>
        <w:tc>
          <w:tcPr>
            <w:tcW w:w="7026" w:type="dxa"/>
            <w:tcBorders>
              <w:top w:val="single" w:sz="1" w:space="0" w:color="D8DFE8"/>
              <w:left w:val="single" w:sz="1" w:space="0" w:color="D8DFE8"/>
              <w:bottom w:val="single" w:sz="1" w:space="0" w:color="D8DFE8"/>
              <w:right w:val="single" w:sz="1" w:space="0" w:color="D8DFE8"/>
            </w:tcBorders>
            <w:shd w:val="clear" w:color="auto" w:fill="EDF1F7"/>
            <w:tcMar>
              <w:top w:w="120" w:type="dxa"/>
              <w:left w:w="200" w:type="dxa"/>
              <w:bottom w:w="120" w:type="dxa"/>
              <w:right w:w="160" w:type="dxa"/>
            </w:tcMar>
          </w:tcPr>
          <w:p w14:paraId="56FC3DA7" w14:textId="77777777" w:rsidR="00246D95" w:rsidRDefault="00CC4E74">
            <w:pPr>
              <w:spacing w:after="60"/>
            </w:pPr>
            <w:r>
              <w:rPr>
                <w:b/>
                <w:bCs/>
                <w:color w:val="1B2A4A"/>
                <w:sz w:val="24"/>
                <w:szCs w:val="24"/>
              </w:rPr>
              <w:t>Registration &amp; Lunch</w:t>
            </w:r>
          </w:p>
          <w:p w14:paraId="25D621A3" w14:textId="77777777" w:rsidR="00246D95" w:rsidRDefault="00CC4E74">
            <w:pPr>
              <w:spacing w:after="40"/>
            </w:pPr>
            <w:r>
              <w:rPr>
                <w:i/>
                <w:iCs/>
                <w:color w:val="666666"/>
                <w:sz w:val="20"/>
                <w:szCs w:val="20"/>
              </w:rPr>
              <w:t>Ashworth Centre, Lincoln’s Inn</w:t>
            </w:r>
          </w:p>
        </w:tc>
      </w:tr>
      <w:tr w:rsidR="00246D95" w14:paraId="1E1747AE" w14:textId="77777777">
        <w:tc>
          <w:tcPr>
            <w:tcW w:w="2000" w:type="dxa"/>
            <w:tcBorders>
              <w:top w:val="single" w:sz="1" w:space="0" w:color="D8DFE8"/>
              <w:left w:val="single" w:sz="1" w:space="0" w:color="D8DFE8"/>
              <w:bottom w:val="single" w:sz="1" w:space="0" w:color="D8DFE8"/>
              <w:right w:val="single" w:sz="1" w:space="0" w:color="D8DFE8"/>
            </w:tcBorders>
            <w:shd w:val="clear" w:color="auto" w:fill="1B2A4A"/>
            <w:tcMar>
              <w:top w:w="140" w:type="dxa"/>
              <w:left w:w="160" w:type="dxa"/>
              <w:bottom w:w="140" w:type="dxa"/>
              <w:right w:w="160" w:type="dxa"/>
            </w:tcMar>
          </w:tcPr>
          <w:p w14:paraId="66762EBC" w14:textId="77777777" w:rsidR="00246D95" w:rsidRDefault="00CC4E74">
            <w:pPr>
              <w:jc w:val="center"/>
            </w:pPr>
            <w:r>
              <w:rPr>
                <w:b/>
                <w:bCs/>
                <w:color w:val="C9A94A"/>
              </w:rPr>
              <w:t>1:45 – 2:00</w:t>
            </w:r>
          </w:p>
        </w:tc>
        <w:tc>
          <w:tcPr>
            <w:tcW w:w="7026" w:type="dxa"/>
            <w:tcBorders>
              <w:top w:val="single" w:sz="1" w:space="0" w:color="D8DFE8"/>
              <w:left w:val="single" w:sz="1" w:space="0" w:color="D8DFE8"/>
              <w:bottom w:val="single" w:sz="1" w:space="0" w:color="D8DFE8"/>
              <w:right w:val="single" w:sz="1" w:space="0" w:color="D8DFE8"/>
            </w:tcBorders>
            <w:shd w:val="clear" w:color="auto" w:fill="FFFFFF"/>
            <w:tcMar>
              <w:top w:w="120" w:type="dxa"/>
              <w:left w:w="200" w:type="dxa"/>
              <w:bottom w:w="120" w:type="dxa"/>
              <w:right w:w="160" w:type="dxa"/>
            </w:tcMar>
          </w:tcPr>
          <w:p w14:paraId="5EEBDC6E" w14:textId="77777777" w:rsidR="00246D95" w:rsidRDefault="00CC4E74">
            <w:pPr>
              <w:spacing w:after="60"/>
            </w:pPr>
            <w:r>
              <w:rPr>
                <w:b/>
                <w:bCs/>
                <w:color w:val="1B2A4A"/>
                <w:sz w:val="24"/>
                <w:szCs w:val="24"/>
              </w:rPr>
              <w:t>Welcome Address</w:t>
            </w:r>
          </w:p>
          <w:p w14:paraId="197444A6" w14:textId="77777777" w:rsidR="00246D95" w:rsidRDefault="00CC4E74">
            <w:pPr>
              <w:spacing w:after="40"/>
            </w:pPr>
            <w:r>
              <w:rPr>
                <w:i/>
                <w:iCs/>
                <w:color w:val="666666"/>
                <w:sz w:val="20"/>
                <w:szCs w:val="20"/>
              </w:rPr>
              <w:t>Dame Victoria Sharp DBE, President of the King’s Bench Division</w:t>
            </w:r>
          </w:p>
          <w:p w14:paraId="1C7A623C" w14:textId="77777777" w:rsidR="00246D95" w:rsidRDefault="00CC4E74">
            <w:pPr>
              <w:spacing w:after="40"/>
            </w:pPr>
            <w:r>
              <w:rPr>
                <w:sz w:val="20"/>
                <w:szCs w:val="20"/>
              </w:rPr>
              <w:t>Dame Victoria will open the conference with reflections on the Ayinde case and the emerging role of AI in litigation, together with her wider observations on developments in the approach to litigation more generally.</w:t>
            </w:r>
          </w:p>
        </w:tc>
      </w:tr>
      <w:tr w:rsidR="00246D95" w14:paraId="32E72245" w14:textId="77777777">
        <w:tc>
          <w:tcPr>
            <w:tcW w:w="2000" w:type="dxa"/>
            <w:tcBorders>
              <w:top w:val="single" w:sz="1" w:space="0" w:color="D8DFE8"/>
              <w:left w:val="single" w:sz="1" w:space="0" w:color="D8DFE8"/>
              <w:bottom w:val="single" w:sz="1" w:space="0" w:color="D8DFE8"/>
              <w:right w:val="single" w:sz="1" w:space="0" w:color="D8DFE8"/>
            </w:tcBorders>
            <w:shd w:val="clear" w:color="auto" w:fill="1B2A4A"/>
            <w:tcMar>
              <w:top w:w="140" w:type="dxa"/>
              <w:left w:w="160" w:type="dxa"/>
              <w:bottom w:w="140" w:type="dxa"/>
              <w:right w:w="160" w:type="dxa"/>
            </w:tcMar>
          </w:tcPr>
          <w:p w14:paraId="7E25944E" w14:textId="77777777" w:rsidR="00246D95" w:rsidRDefault="00CC4E74">
            <w:pPr>
              <w:jc w:val="center"/>
            </w:pPr>
            <w:r>
              <w:rPr>
                <w:b/>
                <w:bCs/>
                <w:color w:val="C9A94A"/>
              </w:rPr>
              <w:t>2:00 – 3:00</w:t>
            </w:r>
          </w:p>
        </w:tc>
        <w:tc>
          <w:tcPr>
            <w:tcW w:w="7026" w:type="dxa"/>
            <w:tcBorders>
              <w:top w:val="single" w:sz="1" w:space="0" w:color="D8DFE8"/>
              <w:left w:val="single" w:sz="1" w:space="0" w:color="D8DFE8"/>
              <w:bottom w:val="single" w:sz="1" w:space="0" w:color="D8DFE8"/>
              <w:right w:val="single" w:sz="1" w:space="0" w:color="D8DFE8"/>
            </w:tcBorders>
            <w:shd w:val="clear" w:color="auto" w:fill="FFFFFF"/>
            <w:tcMar>
              <w:top w:w="120" w:type="dxa"/>
              <w:left w:w="200" w:type="dxa"/>
              <w:bottom w:w="120" w:type="dxa"/>
              <w:right w:w="160" w:type="dxa"/>
            </w:tcMar>
          </w:tcPr>
          <w:p w14:paraId="02B77A16" w14:textId="77777777" w:rsidR="00246D95" w:rsidRDefault="00CC4E74">
            <w:pPr>
              <w:spacing w:after="60"/>
            </w:pPr>
            <w:r>
              <w:rPr>
                <w:b/>
                <w:bCs/>
                <w:color w:val="1B2A4A"/>
                <w:sz w:val="24"/>
                <w:szCs w:val="24"/>
              </w:rPr>
              <w:t>How AI Can Revolutionise Property Litigation</w:t>
            </w:r>
          </w:p>
          <w:p w14:paraId="53D35A4F" w14:textId="77777777" w:rsidR="00246D95" w:rsidRDefault="00CC4E74">
            <w:pPr>
              <w:spacing w:after="40"/>
            </w:pPr>
            <w:r>
              <w:rPr>
                <w:i/>
                <w:iCs/>
                <w:color w:val="666666"/>
                <w:sz w:val="20"/>
                <w:szCs w:val="20"/>
              </w:rPr>
              <w:t>Fred Leader, Legora</w:t>
            </w:r>
          </w:p>
          <w:p w14:paraId="6E3C6B01" w14:textId="77777777" w:rsidR="00246D95" w:rsidRDefault="00CC4E74">
            <w:pPr>
              <w:spacing w:after="40"/>
            </w:pPr>
            <w:r>
              <w:rPr>
                <w:sz w:val="20"/>
                <w:szCs w:val="20"/>
              </w:rPr>
              <w:t>An exploration of the technological revolution reshaping legal practice, with particular focus on the implications for the Bar and property litigators. Topics include:</w:t>
            </w:r>
          </w:p>
          <w:p w14:paraId="1EE20232" w14:textId="77777777" w:rsidR="00246D95" w:rsidRDefault="00CC4E74">
            <w:pPr>
              <w:spacing w:after="30"/>
              <w:ind w:left="300" w:hanging="200"/>
            </w:pPr>
            <w:r>
              <w:rPr>
                <w:sz w:val="20"/>
                <w:szCs w:val="20"/>
              </w:rPr>
              <w:t>•  The LLM step-change and why it differs from previous waves of legal technology</w:t>
            </w:r>
          </w:p>
          <w:p w14:paraId="5F7B0351" w14:textId="77777777" w:rsidR="00246D95" w:rsidRDefault="00CC4E74">
            <w:pPr>
              <w:spacing w:after="30"/>
              <w:ind w:left="300" w:hanging="200"/>
            </w:pPr>
            <w:r>
              <w:rPr>
                <w:sz w:val="20"/>
                <w:szCs w:val="20"/>
              </w:rPr>
              <w:t>•  The shifting role of the lawyer — what the barrister’s version of that shift looks like</w:t>
            </w:r>
          </w:p>
          <w:p w14:paraId="0D3B1B63" w14:textId="77777777" w:rsidR="00246D95" w:rsidRDefault="00CC4E74">
            <w:pPr>
              <w:spacing w:after="30"/>
              <w:ind w:left="300" w:hanging="200"/>
            </w:pPr>
            <w:r>
              <w:rPr>
                <w:sz w:val="20"/>
                <w:szCs w:val="20"/>
              </w:rPr>
              <w:t>•  The practical tools available today: document review, research, pleadings, skeletons</w:t>
            </w:r>
          </w:p>
          <w:p w14:paraId="2F965A17" w14:textId="77777777" w:rsidR="00246D95" w:rsidRDefault="00CC4E74">
            <w:pPr>
              <w:spacing w:after="30"/>
              <w:ind w:left="300" w:hanging="200"/>
            </w:pPr>
            <w:r>
              <w:rPr>
                <w:sz w:val="20"/>
                <w:szCs w:val="20"/>
              </w:rPr>
              <w:t>•  Lower barriers to litigation and the economics of this shift</w:t>
            </w:r>
          </w:p>
          <w:p w14:paraId="360AF5E1" w14:textId="77777777" w:rsidR="00246D95" w:rsidRDefault="00CC4E74">
            <w:pPr>
              <w:spacing w:after="30"/>
              <w:ind w:left="300" w:hanging="200"/>
            </w:pPr>
            <w:r>
              <w:rPr>
                <w:sz w:val="20"/>
                <w:szCs w:val="20"/>
              </w:rPr>
              <w:t>•  The enduring premium on judgment, accuracy, and advocacy</w:t>
            </w:r>
          </w:p>
          <w:p w14:paraId="5D878431" w14:textId="77777777" w:rsidR="00246D95" w:rsidRDefault="00CC4E74">
            <w:pPr>
              <w:spacing w:after="40"/>
            </w:pPr>
            <w:r>
              <w:rPr>
                <w:sz w:val="20"/>
                <w:szCs w:val="20"/>
              </w:rPr>
              <w:t>Followed by panel discussion and Q&amp;A</w:t>
            </w:r>
          </w:p>
        </w:tc>
      </w:tr>
      <w:tr w:rsidR="00246D95" w14:paraId="5A0A7490" w14:textId="77777777">
        <w:tc>
          <w:tcPr>
            <w:tcW w:w="2000" w:type="dxa"/>
            <w:tcBorders>
              <w:top w:val="single" w:sz="1" w:space="0" w:color="D8DFE8"/>
              <w:left w:val="single" w:sz="1" w:space="0" w:color="D8DFE8"/>
              <w:bottom w:val="single" w:sz="1" w:space="0" w:color="D8DFE8"/>
              <w:right w:val="single" w:sz="1" w:space="0" w:color="D8DFE8"/>
            </w:tcBorders>
            <w:shd w:val="clear" w:color="auto" w:fill="1B2A4A"/>
            <w:tcMar>
              <w:top w:w="140" w:type="dxa"/>
              <w:left w:w="160" w:type="dxa"/>
              <w:bottom w:w="140" w:type="dxa"/>
              <w:right w:w="160" w:type="dxa"/>
            </w:tcMar>
          </w:tcPr>
          <w:p w14:paraId="681A7C11" w14:textId="77777777" w:rsidR="00246D95" w:rsidRDefault="00CC4E74">
            <w:pPr>
              <w:jc w:val="center"/>
            </w:pPr>
            <w:r>
              <w:rPr>
                <w:b/>
                <w:bCs/>
                <w:color w:val="C9A94A"/>
              </w:rPr>
              <w:t>3:00 – 4:00</w:t>
            </w:r>
          </w:p>
        </w:tc>
        <w:tc>
          <w:tcPr>
            <w:tcW w:w="7026" w:type="dxa"/>
            <w:tcBorders>
              <w:top w:val="single" w:sz="1" w:space="0" w:color="D8DFE8"/>
              <w:left w:val="single" w:sz="1" w:space="0" w:color="D8DFE8"/>
              <w:bottom w:val="single" w:sz="1" w:space="0" w:color="D8DFE8"/>
              <w:right w:val="single" w:sz="1" w:space="0" w:color="D8DFE8"/>
            </w:tcBorders>
            <w:shd w:val="clear" w:color="auto" w:fill="FFFFFF"/>
            <w:tcMar>
              <w:top w:w="120" w:type="dxa"/>
              <w:left w:w="200" w:type="dxa"/>
              <w:bottom w:w="120" w:type="dxa"/>
              <w:right w:w="160" w:type="dxa"/>
            </w:tcMar>
          </w:tcPr>
          <w:p w14:paraId="5B16918F" w14:textId="77777777" w:rsidR="00246D95" w:rsidRDefault="00CC4E74">
            <w:pPr>
              <w:spacing w:after="60"/>
            </w:pPr>
            <w:r>
              <w:rPr>
                <w:b/>
                <w:bCs/>
                <w:color w:val="1B2A4A"/>
                <w:sz w:val="24"/>
                <w:szCs w:val="24"/>
              </w:rPr>
              <w:t>Panel Discussion: Practical Strategies for Cross-Examining Expert Witnesses</w:t>
            </w:r>
          </w:p>
          <w:p w14:paraId="0BDAFEAF" w14:textId="77777777" w:rsidR="00246D95" w:rsidRDefault="00CC4E74">
            <w:pPr>
              <w:spacing w:after="40"/>
            </w:pPr>
            <w:r>
              <w:rPr>
                <w:i/>
                <w:iCs/>
                <w:color w:val="666666"/>
                <w:sz w:val="20"/>
                <w:szCs w:val="20"/>
              </w:rPr>
              <w:t>HHJ Hodge  ·  David Holland  ·  Zoë Barton KC  ·  Expert Surveyor (TBC)</w:t>
            </w:r>
          </w:p>
          <w:p w14:paraId="6B6929FB" w14:textId="77777777" w:rsidR="00246D95" w:rsidRDefault="00CC4E74">
            <w:pPr>
              <w:spacing w:after="40"/>
            </w:pPr>
            <w:r>
              <w:rPr>
                <w:sz w:val="20"/>
                <w:szCs w:val="20"/>
              </w:rPr>
              <w:t>A focused session on cross-examination of expert witnesses in property disputes, covering:</w:t>
            </w:r>
          </w:p>
          <w:p w14:paraId="3C7C7B0B" w14:textId="77777777" w:rsidR="00246D95" w:rsidRDefault="00CC4E74">
            <w:pPr>
              <w:spacing w:after="30"/>
              <w:ind w:left="300" w:hanging="200"/>
            </w:pPr>
            <w:r>
              <w:rPr>
                <w:sz w:val="20"/>
                <w:szCs w:val="20"/>
              </w:rPr>
              <w:t>•  Valuations: comparables, investment valuation, DCF methods and residual valuations</w:t>
            </w:r>
          </w:p>
          <w:p w14:paraId="0E892E64" w14:textId="77777777" w:rsidR="00246D95" w:rsidRDefault="00CC4E74">
            <w:pPr>
              <w:spacing w:after="30"/>
              <w:ind w:left="300" w:hanging="200"/>
            </w:pPr>
            <w:r>
              <w:rPr>
                <w:sz w:val="20"/>
                <w:szCs w:val="20"/>
              </w:rPr>
              <w:t>•  Effective use of professional guidance and other materials</w:t>
            </w:r>
          </w:p>
          <w:p w14:paraId="3FC55A31" w14:textId="77777777" w:rsidR="00246D95" w:rsidRDefault="00CC4E74">
            <w:pPr>
              <w:spacing w:after="30"/>
              <w:ind w:left="300" w:hanging="200"/>
            </w:pPr>
            <w:r>
              <w:rPr>
                <w:sz w:val="20"/>
                <w:szCs w:val="20"/>
              </w:rPr>
              <w:t>•  An expert’s perspective — what works and what doesn’t</w:t>
            </w:r>
          </w:p>
          <w:p w14:paraId="1121D58E" w14:textId="77777777" w:rsidR="00246D95" w:rsidRDefault="00CC4E74">
            <w:pPr>
              <w:spacing w:after="40"/>
            </w:pPr>
            <w:r>
              <w:rPr>
                <w:sz w:val="20"/>
                <w:szCs w:val="20"/>
              </w:rPr>
              <w:t>Including audience Q&amp;A</w:t>
            </w:r>
          </w:p>
        </w:tc>
      </w:tr>
      <w:tr w:rsidR="00246D95" w14:paraId="07F7FA39" w14:textId="77777777">
        <w:tc>
          <w:tcPr>
            <w:tcW w:w="2000" w:type="dxa"/>
            <w:tcBorders>
              <w:top w:val="single" w:sz="1" w:space="0" w:color="D8DFE8"/>
              <w:left w:val="single" w:sz="1" w:space="0" w:color="D8DFE8"/>
              <w:bottom w:val="single" w:sz="1" w:space="0" w:color="D8DFE8"/>
              <w:right w:val="single" w:sz="1" w:space="0" w:color="D8DFE8"/>
            </w:tcBorders>
            <w:shd w:val="clear" w:color="auto" w:fill="1B2A4A"/>
            <w:tcMar>
              <w:top w:w="140" w:type="dxa"/>
              <w:left w:w="160" w:type="dxa"/>
              <w:bottom w:w="140" w:type="dxa"/>
              <w:right w:w="160" w:type="dxa"/>
            </w:tcMar>
          </w:tcPr>
          <w:p w14:paraId="5E269931" w14:textId="77777777" w:rsidR="00246D95" w:rsidRDefault="00CC4E74">
            <w:pPr>
              <w:jc w:val="center"/>
            </w:pPr>
            <w:r>
              <w:rPr>
                <w:b/>
                <w:bCs/>
                <w:color w:val="C9A94A"/>
              </w:rPr>
              <w:t>4:00 – 4:15</w:t>
            </w:r>
          </w:p>
        </w:tc>
        <w:tc>
          <w:tcPr>
            <w:tcW w:w="7026" w:type="dxa"/>
            <w:tcBorders>
              <w:top w:val="single" w:sz="1" w:space="0" w:color="D8DFE8"/>
              <w:left w:val="single" w:sz="1" w:space="0" w:color="D8DFE8"/>
              <w:bottom w:val="single" w:sz="1" w:space="0" w:color="D8DFE8"/>
              <w:right w:val="single" w:sz="1" w:space="0" w:color="D8DFE8"/>
            </w:tcBorders>
            <w:shd w:val="clear" w:color="auto" w:fill="EDF1F7"/>
            <w:tcMar>
              <w:top w:w="120" w:type="dxa"/>
              <w:left w:w="200" w:type="dxa"/>
              <w:bottom w:w="120" w:type="dxa"/>
              <w:right w:w="160" w:type="dxa"/>
            </w:tcMar>
          </w:tcPr>
          <w:p w14:paraId="09CFE7B0" w14:textId="77777777" w:rsidR="00246D95" w:rsidRDefault="00CC4E74">
            <w:pPr>
              <w:jc w:val="center"/>
            </w:pPr>
            <w:r>
              <w:rPr>
                <w:b/>
                <w:bCs/>
                <w:color w:val="1B2A4A"/>
              </w:rPr>
              <w:t>☕  Coffee Break</w:t>
            </w:r>
          </w:p>
        </w:tc>
      </w:tr>
      <w:tr w:rsidR="00246D95" w14:paraId="4E1DE3A4" w14:textId="77777777">
        <w:tc>
          <w:tcPr>
            <w:tcW w:w="2000" w:type="dxa"/>
            <w:tcBorders>
              <w:top w:val="single" w:sz="1" w:space="0" w:color="D8DFE8"/>
              <w:left w:val="single" w:sz="1" w:space="0" w:color="D8DFE8"/>
              <w:bottom w:val="single" w:sz="1" w:space="0" w:color="D8DFE8"/>
              <w:right w:val="single" w:sz="1" w:space="0" w:color="D8DFE8"/>
            </w:tcBorders>
            <w:shd w:val="clear" w:color="auto" w:fill="1B2A4A"/>
            <w:tcMar>
              <w:top w:w="140" w:type="dxa"/>
              <w:left w:w="160" w:type="dxa"/>
              <w:bottom w:w="140" w:type="dxa"/>
              <w:right w:w="160" w:type="dxa"/>
            </w:tcMar>
          </w:tcPr>
          <w:p w14:paraId="4F47016C" w14:textId="77777777" w:rsidR="00246D95" w:rsidRDefault="00CC4E74">
            <w:pPr>
              <w:jc w:val="center"/>
            </w:pPr>
            <w:r>
              <w:rPr>
                <w:b/>
                <w:bCs/>
                <w:color w:val="C9A94A"/>
              </w:rPr>
              <w:t>4:15 – 5:15</w:t>
            </w:r>
          </w:p>
        </w:tc>
        <w:tc>
          <w:tcPr>
            <w:tcW w:w="7026" w:type="dxa"/>
            <w:tcBorders>
              <w:top w:val="single" w:sz="1" w:space="0" w:color="D8DFE8"/>
              <w:left w:val="single" w:sz="1" w:space="0" w:color="D8DFE8"/>
              <w:bottom w:val="single" w:sz="1" w:space="0" w:color="D8DFE8"/>
              <w:right w:val="single" w:sz="1" w:space="0" w:color="D8DFE8"/>
            </w:tcBorders>
            <w:shd w:val="clear" w:color="auto" w:fill="FFFFFF"/>
            <w:tcMar>
              <w:top w:w="120" w:type="dxa"/>
              <w:left w:w="200" w:type="dxa"/>
              <w:bottom w:w="120" w:type="dxa"/>
              <w:right w:w="160" w:type="dxa"/>
            </w:tcMar>
          </w:tcPr>
          <w:p w14:paraId="720E6638" w14:textId="77777777" w:rsidR="00246D95" w:rsidRDefault="00CC4E74">
            <w:pPr>
              <w:spacing w:after="60"/>
            </w:pPr>
            <w:r>
              <w:rPr>
                <w:b/>
                <w:bCs/>
                <w:color w:val="1B2A4A"/>
                <w:sz w:val="24"/>
                <w:szCs w:val="24"/>
              </w:rPr>
              <w:t>Workshops — Please Select One</w:t>
            </w:r>
          </w:p>
          <w:p w14:paraId="2D747851" w14:textId="77777777" w:rsidR="00246D95" w:rsidRDefault="00246D95">
            <w:pPr>
              <w:spacing w:after="80"/>
            </w:pPr>
          </w:p>
          <w:p w14:paraId="68388C92" w14:textId="77777777" w:rsidR="00246D95" w:rsidRDefault="00CC4E74">
            <w:pPr>
              <w:spacing w:after="30"/>
            </w:pPr>
            <w:r>
              <w:rPr>
                <w:b/>
                <w:bCs/>
                <w:color w:val="1B2A4A"/>
              </w:rPr>
              <w:t>Workshop 1   How to Win a Mediation</w:t>
            </w:r>
          </w:p>
          <w:p w14:paraId="5C75B260" w14:textId="77777777" w:rsidR="00246D95" w:rsidRDefault="00CC4E74">
            <w:pPr>
              <w:spacing w:after="40"/>
            </w:pPr>
            <w:r>
              <w:rPr>
                <w:i/>
                <w:iCs/>
                <w:color w:val="666666"/>
                <w:sz w:val="20"/>
                <w:szCs w:val="20"/>
              </w:rPr>
              <w:t>John DeWaal KC  ·  Laura Tweedy  ·  Rupert Cohen</w:t>
            </w:r>
          </w:p>
          <w:p w14:paraId="2A48F7F3" w14:textId="77777777" w:rsidR="00246D95" w:rsidRDefault="00246D95">
            <w:pPr>
              <w:spacing w:after="80"/>
            </w:pPr>
          </w:p>
          <w:p w14:paraId="4C5CEE68" w14:textId="77777777" w:rsidR="00246D95" w:rsidRDefault="00CC4E74">
            <w:pPr>
              <w:spacing w:after="30"/>
            </w:pPr>
            <w:r>
              <w:rPr>
                <w:b/>
                <w:bCs/>
                <w:color w:val="1B2A4A"/>
              </w:rPr>
              <w:t>Workshop 2   Valuation Issues: From Basic Concepts to Current Issues</w:t>
            </w:r>
          </w:p>
          <w:p w14:paraId="2432F069" w14:textId="77777777" w:rsidR="00246D95" w:rsidRDefault="00CC4E74">
            <w:pPr>
              <w:spacing w:after="40"/>
            </w:pPr>
            <w:r>
              <w:rPr>
                <w:i/>
                <w:iCs/>
                <w:color w:val="666666"/>
                <w:sz w:val="20"/>
                <w:szCs w:val="20"/>
              </w:rPr>
              <w:t>Chris Heather KC</w:t>
            </w:r>
          </w:p>
          <w:p w14:paraId="513DC3CF" w14:textId="77777777" w:rsidR="00246D95" w:rsidRDefault="00246D95">
            <w:pPr>
              <w:spacing w:after="80"/>
            </w:pPr>
          </w:p>
          <w:p w14:paraId="498DC9F8" w14:textId="77777777" w:rsidR="00246D95" w:rsidRDefault="00CC4E74">
            <w:pPr>
              <w:spacing w:after="30"/>
            </w:pPr>
            <w:r>
              <w:rPr>
                <w:b/>
                <w:bCs/>
                <w:color w:val="1B2A4A"/>
              </w:rPr>
              <w:t>Workshop 3   Forfeiture: Permanent Death or a Candidate for Resurrection?</w:t>
            </w:r>
          </w:p>
          <w:p w14:paraId="5F8A0CE7" w14:textId="77777777" w:rsidR="00246D95" w:rsidRDefault="00CC4E74">
            <w:pPr>
              <w:spacing w:after="40"/>
            </w:pPr>
            <w:r>
              <w:rPr>
                <w:i/>
                <w:iCs/>
                <w:color w:val="666666"/>
                <w:sz w:val="20"/>
                <w:szCs w:val="20"/>
              </w:rPr>
              <w:t>Mark Warwick KC  ·  Eleanor Vickery</w:t>
            </w:r>
          </w:p>
        </w:tc>
      </w:tr>
      <w:tr w:rsidR="00246D95" w14:paraId="294D49AA" w14:textId="77777777">
        <w:tc>
          <w:tcPr>
            <w:tcW w:w="2000" w:type="dxa"/>
            <w:tcBorders>
              <w:top w:val="single" w:sz="1" w:space="0" w:color="D8DFE8"/>
              <w:left w:val="single" w:sz="1" w:space="0" w:color="D8DFE8"/>
              <w:bottom w:val="single" w:sz="1" w:space="0" w:color="D8DFE8"/>
              <w:right w:val="single" w:sz="1" w:space="0" w:color="D8DFE8"/>
            </w:tcBorders>
            <w:shd w:val="clear" w:color="auto" w:fill="1B2A4A"/>
            <w:tcMar>
              <w:top w:w="140" w:type="dxa"/>
              <w:left w:w="160" w:type="dxa"/>
              <w:bottom w:w="140" w:type="dxa"/>
              <w:right w:w="160" w:type="dxa"/>
            </w:tcMar>
          </w:tcPr>
          <w:p w14:paraId="6BB2EFBB" w14:textId="77777777" w:rsidR="00246D95" w:rsidRDefault="00CC4E74">
            <w:pPr>
              <w:jc w:val="center"/>
            </w:pPr>
            <w:r>
              <w:rPr>
                <w:b/>
                <w:bCs/>
                <w:color w:val="C9A94A"/>
              </w:rPr>
              <w:lastRenderedPageBreak/>
              <w:t>5:15 – 6:00</w:t>
            </w:r>
          </w:p>
        </w:tc>
        <w:tc>
          <w:tcPr>
            <w:tcW w:w="7026" w:type="dxa"/>
            <w:tcBorders>
              <w:top w:val="single" w:sz="1" w:space="0" w:color="D8DFE8"/>
              <w:left w:val="single" w:sz="1" w:space="0" w:color="D8DFE8"/>
              <w:bottom w:val="single" w:sz="1" w:space="0" w:color="D8DFE8"/>
              <w:right w:val="single" w:sz="1" w:space="0" w:color="D8DFE8"/>
            </w:tcBorders>
            <w:shd w:val="clear" w:color="auto" w:fill="FFFFFF"/>
            <w:tcMar>
              <w:top w:w="120" w:type="dxa"/>
              <w:left w:w="200" w:type="dxa"/>
              <w:bottom w:w="120" w:type="dxa"/>
              <w:right w:w="160" w:type="dxa"/>
            </w:tcMar>
          </w:tcPr>
          <w:p w14:paraId="4AA3BB04" w14:textId="77777777" w:rsidR="00246D95" w:rsidRDefault="00CC4E74">
            <w:pPr>
              <w:spacing w:after="60"/>
            </w:pPr>
            <w:r>
              <w:rPr>
                <w:b/>
                <w:bCs/>
                <w:color w:val="1B2A4A"/>
                <w:sz w:val="24"/>
                <w:szCs w:val="24"/>
              </w:rPr>
              <w:t>Beyond Property Law</w:t>
            </w:r>
          </w:p>
          <w:p w14:paraId="064A5974" w14:textId="77777777" w:rsidR="00246D95" w:rsidRDefault="00CC4E74">
            <w:pPr>
              <w:spacing w:after="40"/>
            </w:pPr>
            <w:r>
              <w:rPr>
                <w:i/>
                <w:iCs/>
                <w:color w:val="666666"/>
                <w:sz w:val="20"/>
                <w:szCs w:val="20"/>
              </w:rPr>
              <w:t>Siward Atkins KC</w:t>
            </w:r>
          </w:p>
          <w:p w14:paraId="6D56782D" w14:textId="77777777" w:rsidR="00246D95" w:rsidRDefault="00CC4E74">
            <w:pPr>
              <w:spacing w:after="40"/>
            </w:pPr>
            <w:r>
              <w:rPr>
                <w:sz w:val="20"/>
                <w:szCs w:val="20"/>
              </w:rPr>
              <w:t>Claims and remedies from other areas of law that every property litigator needs to know about.</w:t>
            </w:r>
          </w:p>
        </w:tc>
      </w:tr>
      <w:tr w:rsidR="00246D95" w14:paraId="55A64F8C" w14:textId="77777777">
        <w:tc>
          <w:tcPr>
            <w:tcW w:w="2000" w:type="dxa"/>
            <w:tcBorders>
              <w:top w:val="single" w:sz="1" w:space="0" w:color="D8DFE8"/>
              <w:left w:val="single" w:sz="1" w:space="0" w:color="D8DFE8"/>
              <w:bottom w:val="single" w:sz="1" w:space="0" w:color="D8DFE8"/>
              <w:right w:val="single" w:sz="1" w:space="0" w:color="D8DFE8"/>
            </w:tcBorders>
            <w:shd w:val="clear" w:color="auto" w:fill="1B2A4A"/>
            <w:tcMar>
              <w:top w:w="140" w:type="dxa"/>
              <w:left w:w="160" w:type="dxa"/>
              <w:bottom w:w="140" w:type="dxa"/>
              <w:right w:w="160" w:type="dxa"/>
            </w:tcMar>
          </w:tcPr>
          <w:p w14:paraId="150FC737" w14:textId="77777777" w:rsidR="00246D95" w:rsidRDefault="00CC4E74">
            <w:pPr>
              <w:jc w:val="center"/>
            </w:pPr>
            <w:r>
              <w:rPr>
                <w:b/>
                <w:bCs/>
                <w:color w:val="C9A94A"/>
              </w:rPr>
              <w:t>6:00 – 6:30</w:t>
            </w:r>
          </w:p>
        </w:tc>
        <w:tc>
          <w:tcPr>
            <w:tcW w:w="7026" w:type="dxa"/>
            <w:tcBorders>
              <w:top w:val="single" w:sz="1" w:space="0" w:color="D8DFE8"/>
              <w:left w:val="single" w:sz="1" w:space="0" w:color="D8DFE8"/>
              <w:bottom w:val="single" w:sz="1" w:space="0" w:color="D8DFE8"/>
              <w:right w:val="single" w:sz="1" w:space="0" w:color="D8DFE8"/>
            </w:tcBorders>
            <w:shd w:val="clear" w:color="auto" w:fill="FFFFFF"/>
            <w:tcMar>
              <w:top w:w="120" w:type="dxa"/>
              <w:left w:w="200" w:type="dxa"/>
              <w:bottom w:w="120" w:type="dxa"/>
              <w:right w:w="160" w:type="dxa"/>
            </w:tcMar>
          </w:tcPr>
          <w:p w14:paraId="195A5543" w14:textId="77777777" w:rsidR="00246D95" w:rsidRDefault="00CC4E74">
            <w:pPr>
              <w:spacing w:after="60"/>
            </w:pPr>
            <w:r>
              <w:rPr>
                <w:b/>
                <w:bCs/>
                <w:color w:val="1B2A4A"/>
                <w:sz w:val="24"/>
                <w:szCs w:val="24"/>
              </w:rPr>
              <w:t>Closing Remarks</w:t>
            </w:r>
          </w:p>
          <w:p w14:paraId="39859B5F" w14:textId="77777777" w:rsidR="00246D95" w:rsidRDefault="00CC4E74">
            <w:pPr>
              <w:spacing w:after="40"/>
            </w:pPr>
            <w:r>
              <w:rPr>
                <w:i/>
                <w:iCs/>
                <w:color w:val="666666"/>
                <w:sz w:val="20"/>
                <w:szCs w:val="20"/>
              </w:rPr>
              <w:t>Sir Colin Birss, Chancellor of the High Court</w:t>
            </w:r>
          </w:p>
        </w:tc>
      </w:tr>
      <w:tr w:rsidR="00246D95" w14:paraId="3F5F72DF" w14:textId="77777777">
        <w:tc>
          <w:tcPr>
            <w:tcW w:w="2000" w:type="dxa"/>
            <w:tcBorders>
              <w:top w:val="single" w:sz="1" w:space="0" w:color="D8DFE8"/>
              <w:left w:val="single" w:sz="1" w:space="0" w:color="D8DFE8"/>
              <w:bottom w:val="single" w:sz="1" w:space="0" w:color="D8DFE8"/>
              <w:right w:val="single" w:sz="1" w:space="0" w:color="D8DFE8"/>
            </w:tcBorders>
            <w:shd w:val="clear" w:color="auto" w:fill="1B2A4A"/>
            <w:tcMar>
              <w:top w:w="140" w:type="dxa"/>
              <w:left w:w="160" w:type="dxa"/>
              <w:bottom w:w="140" w:type="dxa"/>
              <w:right w:w="160" w:type="dxa"/>
            </w:tcMar>
          </w:tcPr>
          <w:p w14:paraId="68468500" w14:textId="77777777" w:rsidR="00246D95" w:rsidRDefault="00CC4E74">
            <w:pPr>
              <w:jc w:val="center"/>
            </w:pPr>
            <w:r>
              <w:rPr>
                <w:b/>
                <w:bCs/>
                <w:color w:val="C9A94A"/>
              </w:rPr>
              <w:t>6:30 – 8:00</w:t>
            </w:r>
          </w:p>
        </w:tc>
        <w:tc>
          <w:tcPr>
            <w:tcW w:w="7026" w:type="dxa"/>
            <w:tcBorders>
              <w:top w:val="single" w:sz="1" w:space="0" w:color="D8DFE8"/>
              <w:left w:val="single" w:sz="1" w:space="0" w:color="D8DFE8"/>
              <w:bottom w:val="single" w:sz="1" w:space="0" w:color="D8DFE8"/>
              <w:right w:val="single" w:sz="1" w:space="0" w:color="D8DFE8"/>
            </w:tcBorders>
            <w:shd w:val="clear" w:color="auto" w:fill="EDF1F7"/>
            <w:tcMar>
              <w:top w:w="120" w:type="dxa"/>
              <w:left w:w="200" w:type="dxa"/>
              <w:bottom w:w="120" w:type="dxa"/>
              <w:right w:w="160" w:type="dxa"/>
            </w:tcMar>
          </w:tcPr>
          <w:p w14:paraId="7469345A" w14:textId="77777777" w:rsidR="00246D95" w:rsidRDefault="00CC4E74">
            <w:pPr>
              <w:jc w:val="center"/>
            </w:pPr>
            <w:r>
              <w:rPr>
                <w:b/>
                <w:bCs/>
                <w:color w:val="1B2A4A"/>
                <w:sz w:val="24"/>
                <w:szCs w:val="24"/>
              </w:rPr>
              <w:t>🥂  Drinks Reception</w:t>
            </w:r>
          </w:p>
          <w:p w14:paraId="030A5B5B" w14:textId="72F83D58" w:rsidR="00246D95" w:rsidRDefault="00523F6B">
            <w:pPr>
              <w:jc w:val="center"/>
            </w:pPr>
            <w:r>
              <w:rPr>
                <w:i/>
                <w:iCs/>
                <w:color w:val="666666"/>
                <w:sz w:val="20"/>
                <w:szCs w:val="20"/>
              </w:rPr>
              <w:t>Ashworth Centre</w:t>
            </w:r>
          </w:p>
        </w:tc>
      </w:tr>
    </w:tbl>
    <w:p w14:paraId="4BC6B36C" w14:textId="7921A023" w:rsidR="00246D95" w:rsidRDefault="00CC4E74">
      <w:pPr>
        <w:spacing w:before="300"/>
        <w:jc w:val="center"/>
      </w:pPr>
      <w:r>
        <w:rPr>
          <w:i/>
          <w:iCs/>
          <w:color w:val="666666"/>
          <w:sz w:val="18"/>
          <w:szCs w:val="18"/>
        </w:rPr>
        <w:t xml:space="preserve">CPD points </w:t>
      </w:r>
      <w:r w:rsidR="00523F6B">
        <w:rPr>
          <w:i/>
          <w:iCs/>
          <w:color w:val="666666"/>
          <w:sz w:val="18"/>
          <w:szCs w:val="18"/>
        </w:rPr>
        <w:t>available · Please</w:t>
      </w:r>
      <w:r>
        <w:rPr>
          <w:i/>
          <w:iCs/>
          <w:color w:val="666666"/>
          <w:sz w:val="18"/>
          <w:szCs w:val="18"/>
        </w:rPr>
        <w:t xml:space="preserve"> confirm workshop selection on registration</w:t>
      </w:r>
    </w:p>
    <w:sectPr w:rsidR="00246D95">
      <w:headerReference w:type="default" r:id="rId7"/>
      <w:footerReference w:type="default" r:id="rId8"/>
      <w:pgSz w:w="11906" w:h="16838"/>
      <w:pgMar w:top="1200" w:right="1440" w:bottom="120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A2F11" w14:textId="77777777" w:rsidR="00B6250F" w:rsidRDefault="00B6250F">
      <w:r>
        <w:separator/>
      </w:r>
    </w:p>
  </w:endnote>
  <w:endnote w:type="continuationSeparator" w:id="0">
    <w:p w14:paraId="4BC3430B" w14:textId="77777777" w:rsidR="00B6250F" w:rsidRDefault="00B6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409EC" w14:textId="77777777" w:rsidR="00246D95" w:rsidRDefault="00CC4E74">
    <w:pPr>
      <w:pBdr>
        <w:top w:val="single" w:sz="4" w:space="4" w:color="D8DFE8"/>
      </w:pBdr>
      <w:jc w:val="center"/>
    </w:pPr>
    <w:r>
      <w:rPr>
        <w:i/>
        <w:iCs/>
        <w:color w:val="666666"/>
        <w:sz w:val="16"/>
        <w:szCs w:val="16"/>
      </w:rPr>
      <w:t>Confidential circulation copy  |  Not for onward distribution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533AE" w14:textId="77777777" w:rsidR="00B6250F" w:rsidRDefault="00B6250F">
      <w:r>
        <w:separator/>
      </w:r>
    </w:p>
  </w:footnote>
  <w:footnote w:type="continuationSeparator" w:id="0">
    <w:p w14:paraId="5770490B" w14:textId="77777777" w:rsidR="00B6250F" w:rsidRDefault="00B62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C5B94" w14:textId="6187433B" w:rsidR="00246D95" w:rsidRDefault="00CC4E74">
    <w:pPr>
      <w:pBdr>
        <w:bottom w:val="single" w:sz="8" w:space="4" w:color="C9A94A"/>
      </w:pBdr>
      <w:tabs>
        <w:tab w:val="right" w:pos="9026"/>
      </w:tabs>
    </w:pPr>
    <w:r>
      <w:rPr>
        <w:b/>
        <w:bCs/>
        <w:color w:val="1B2A4A"/>
        <w:sz w:val="24"/>
        <w:szCs w:val="24"/>
      </w:rPr>
      <w:t>The Property Litigator’s Playbook 2026</w:t>
    </w:r>
    <w:r>
      <w:rPr>
        <w:color w:val="666666"/>
        <w:sz w:val="20"/>
        <w:szCs w:val="20"/>
      </w:rPr>
      <w:tab/>
      <w:t xml:space="preserve">Lincoln’s </w:t>
    </w:r>
    <w:r w:rsidR="00523F6B">
      <w:rPr>
        <w:color w:val="666666"/>
        <w:sz w:val="20"/>
        <w:szCs w:val="20"/>
      </w:rPr>
      <w:t>Inn | 16</w:t>
    </w:r>
    <w:r>
      <w:rPr>
        <w:color w:val="666666"/>
        <w:sz w:val="20"/>
        <w:szCs w:val="20"/>
      </w:rPr>
      <w:t xml:space="preserve"> September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0BCF"/>
    <w:multiLevelType w:val="hybridMultilevel"/>
    <w:tmpl w:val="6C6604EA"/>
    <w:lvl w:ilvl="0" w:tplc="E99A5DE8">
      <w:start w:val="1"/>
      <w:numFmt w:val="bullet"/>
      <w:lvlText w:val="●"/>
      <w:lvlJc w:val="left"/>
      <w:pPr>
        <w:ind w:left="720" w:hanging="360"/>
      </w:pPr>
    </w:lvl>
    <w:lvl w:ilvl="1" w:tplc="2AA2D2A0">
      <w:start w:val="1"/>
      <w:numFmt w:val="bullet"/>
      <w:lvlText w:val="○"/>
      <w:lvlJc w:val="left"/>
      <w:pPr>
        <w:ind w:left="1440" w:hanging="360"/>
      </w:pPr>
    </w:lvl>
    <w:lvl w:ilvl="2" w:tplc="E6DC4158">
      <w:start w:val="1"/>
      <w:numFmt w:val="bullet"/>
      <w:lvlText w:val="■"/>
      <w:lvlJc w:val="left"/>
      <w:pPr>
        <w:ind w:left="2160" w:hanging="360"/>
      </w:pPr>
    </w:lvl>
    <w:lvl w:ilvl="3" w:tplc="21AC081E">
      <w:start w:val="1"/>
      <w:numFmt w:val="bullet"/>
      <w:lvlText w:val="●"/>
      <w:lvlJc w:val="left"/>
      <w:pPr>
        <w:ind w:left="2880" w:hanging="360"/>
      </w:pPr>
    </w:lvl>
    <w:lvl w:ilvl="4" w:tplc="A1C6C128">
      <w:start w:val="1"/>
      <w:numFmt w:val="bullet"/>
      <w:lvlText w:val="○"/>
      <w:lvlJc w:val="left"/>
      <w:pPr>
        <w:ind w:left="3600" w:hanging="360"/>
      </w:pPr>
    </w:lvl>
    <w:lvl w:ilvl="5" w:tplc="A3E4EF16">
      <w:start w:val="1"/>
      <w:numFmt w:val="bullet"/>
      <w:lvlText w:val="■"/>
      <w:lvlJc w:val="left"/>
      <w:pPr>
        <w:ind w:left="4320" w:hanging="360"/>
      </w:pPr>
    </w:lvl>
    <w:lvl w:ilvl="6" w:tplc="D37A80CA">
      <w:start w:val="1"/>
      <w:numFmt w:val="bullet"/>
      <w:lvlText w:val="●"/>
      <w:lvlJc w:val="left"/>
      <w:pPr>
        <w:ind w:left="5040" w:hanging="360"/>
      </w:pPr>
    </w:lvl>
    <w:lvl w:ilvl="7" w:tplc="3F1C8AAA">
      <w:start w:val="1"/>
      <w:numFmt w:val="bullet"/>
      <w:lvlText w:val="●"/>
      <w:lvlJc w:val="left"/>
      <w:pPr>
        <w:ind w:left="5760" w:hanging="360"/>
      </w:pPr>
    </w:lvl>
    <w:lvl w:ilvl="8" w:tplc="12CA262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95"/>
    <w:rsid w:val="00246D95"/>
    <w:rsid w:val="00523F6B"/>
    <w:rsid w:val="00696018"/>
    <w:rsid w:val="00B6250F"/>
    <w:rsid w:val="00C349FB"/>
    <w:rsid w:val="00CC4E74"/>
    <w:rsid w:val="00D95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289D"/>
  <w15:docId w15:val="{A110FD3E-B4D2-48CF-B401-4DA83EC2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333333"/>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23F6B"/>
    <w:pPr>
      <w:tabs>
        <w:tab w:val="center" w:pos="4513"/>
        <w:tab w:val="right" w:pos="9026"/>
      </w:tabs>
    </w:pPr>
  </w:style>
  <w:style w:type="character" w:customStyle="1" w:styleId="HeaderChar">
    <w:name w:val="Header Char"/>
    <w:basedOn w:val="DefaultParagraphFont"/>
    <w:link w:val="Header"/>
    <w:uiPriority w:val="99"/>
    <w:rsid w:val="00523F6B"/>
  </w:style>
  <w:style w:type="paragraph" w:styleId="Footer">
    <w:name w:val="footer"/>
    <w:basedOn w:val="Normal"/>
    <w:link w:val="FooterChar"/>
    <w:uiPriority w:val="99"/>
    <w:unhideWhenUsed/>
    <w:rsid w:val="00523F6B"/>
    <w:pPr>
      <w:tabs>
        <w:tab w:val="center" w:pos="4513"/>
        <w:tab w:val="right" w:pos="9026"/>
      </w:tabs>
    </w:pPr>
  </w:style>
  <w:style w:type="character" w:customStyle="1" w:styleId="FooterChar">
    <w:name w:val="Footer Char"/>
    <w:basedOn w:val="DefaultParagraphFont"/>
    <w:link w:val="Footer"/>
    <w:uiPriority w:val="99"/>
    <w:rsid w:val="00523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account</cp:lastModifiedBy>
  <cp:revision>2</cp:revision>
  <dcterms:created xsi:type="dcterms:W3CDTF">2026-06-15T15:13:00Z</dcterms:created>
  <dcterms:modified xsi:type="dcterms:W3CDTF">2026-06-15T15:13:00Z</dcterms:modified>
</cp:coreProperties>
</file>